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7EF58" w14:textId="0AF6BA51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A42159" w:rsidRPr="00CE0424">
        <w:rPr>
          <w:sz w:val="32"/>
          <w:szCs w:val="32"/>
        </w:rPr>
        <w:t>1</w:t>
      </w:r>
      <w:r w:rsidR="00A42159">
        <w:rPr>
          <w:sz w:val="32"/>
          <w:szCs w:val="32"/>
        </w:rPr>
        <w:t>810082</w:t>
      </w:r>
    </w:p>
    <w:p w14:paraId="0005C489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78516CC5" w14:textId="77777777" w:rsidR="00E90E49" w:rsidRPr="00CE0424" w:rsidRDefault="00E90E49" w:rsidP="00357380">
      <w:pPr>
        <w:pStyle w:val="3GPPHeader"/>
      </w:pPr>
    </w:p>
    <w:p w14:paraId="66C6B9D3" w14:textId="36565B91" w:rsidR="00E90E49" w:rsidRPr="00B26C79" w:rsidRDefault="00E90E49" w:rsidP="00311702">
      <w:pPr>
        <w:pStyle w:val="3GPPHeader"/>
        <w:rPr>
          <w:sz w:val="22"/>
          <w:szCs w:val="22"/>
          <w:lang w:val="en-US"/>
        </w:rPr>
      </w:pPr>
      <w:r w:rsidRPr="00B26C79">
        <w:rPr>
          <w:sz w:val="22"/>
          <w:szCs w:val="22"/>
          <w:lang w:val="en-US"/>
        </w:rPr>
        <w:t>Agenda Item:</w:t>
      </w:r>
      <w:r w:rsidRPr="00B26C79">
        <w:rPr>
          <w:sz w:val="22"/>
          <w:szCs w:val="22"/>
          <w:lang w:val="en-US"/>
        </w:rPr>
        <w:tab/>
      </w:r>
      <w:r w:rsidR="00121B0B" w:rsidRPr="00B26C79">
        <w:rPr>
          <w:sz w:val="22"/>
          <w:szCs w:val="22"/>
          <w:lang w:val="en-US"/>
        </w:rPr>
        <w:t>10.3.1.4.3</w:t>
      </w:r>
      <w:bookmarkStart w:id="0" w:name="_GoBack"/>
      <w:bookmarkEnd w:id="0"/>
    </w:p>
    <w:p w14:paraId="70D3CFCE" w14:textId="77777777" w:rsidR="00E90E49" w:rsidRPr="00121B0B" w:rsidRDefault="003D3C45" w:rsidP="00F64C2B">
      <w:pPr>
        <w:pStyle w:val="3GPPHeader"/>
        <w:rPr>
          <w:sz w:val="22"/>
          <w:szCs w:val="22"/>
        </w:rPr>
      </w:pPr>
      <w:r w:rsidRPr="00586997">
        <w:rPr>
          <w:sz w:val="22"/>
          <w:szCs w:val="22"/>
        </w:rPr>
        <w:t>Source:</w:t>
      </w:r>
      <w:r w:rsidR="00E90E49" w:rsidRPr="00121B0B">
        <w:rPr>
          <w:sz w:val="22"/>
          <w:szCs w:val="22"/>
        </w:rPr>
        <w:tab/>
      </w:r>
      <w:r w:rsidR="00F64C2B" w:rsidRPr="00121B0B">
        <w:rPr>
          <w:sz w:val="22"/>
          <w:szCs w:val="22"/>
        </w:rPr>
        <w:t>Ericsson</w:t>
      </w:r>
    </w:p>
    <w:p w14:paraId="08D81138" w14:textId="77777777" w:rsidR="00E90E49" w:rsidRPr="00121B0B" w:rsidRDefault="003D3C45" w:rsidP="00311702">
      <w:pPr>
        <w:pStyle w:val="3GPPHeader"/>
        <w:rPr>
          <w:sz w:val="22"/>
          <w:szCs w:val="22"/>
        </w:rPr>
      </w:pPr>
      <w:r w:rsidRPr="00121B0B">
        <w:rPr>
          <w:sz w:val="22"/>
          <w:szCs w:val="22"/>
        </w:rPr>
        <w:t>Title:</w:t>
      </w:r>
      <w:r w:rsidR="00E90E49" w:rsidRPr="00121B0B">
        <w:rPr>
          <w:sz w:val="22"/>
          <w:szCs w:val="22"/>
        </w:rPr>
        <w:tab/>
      </w:r>
      <w:r w:rsidR="00284CE8" w:rsidRPr="00B26C79">
        <w:rPr>
          <w:sz w:val="22"/>
          <w:szCs w:val="22"/>
        </w:rPr>
        <w:t>RA-RNTI ambiguity</w:t>
      </w:r>
    </w:p>
    <w:p w14:paraId="64193CBA" w14:textId="77777777" w:rsidR="00E90E49" w:rsidRDefault="00E90E49" w:rsidP="00D546FF">
      <w:pPr>
        <w:pStyle w:val="3GPPHeader"/>
        <w:rPr>
          <w:sz w:val="22"/>
          <w:szCs w:val="22"/>
        </w:rPr>
      </w:pPr>
      <w:r w:rsidRPr="00121B0B">
        <w:rPr>
          <w:sz w:val="22"/>
          <w:szCs w:val="22"/>
        </w:rPr>
        <w:t>Document for:</w:t>
      </w:r>
      <w:r w:rsidRPr="00121B0B">
        <w:rPr>
          <w:sz w:val="22"/>
          <w:szCs w:val="22"/>
        </w:rPr>
        <w:tab/>
      </w:r>
      <w:r w:rsidRPr="00B26C79">
        <w:rPr>
          <w:sz w:val="22"/>
          <w:szCs w:val="22"/>
        </w:rPr>
        <w:t>Discussion, Decision</w:t>
      </w:r>
    </w:p>
    <w:p w14:paraId="2A00C872" w14:textId="77777777" w:rsidR="00C24345" w:rsidRDefault="00E90E49" w:rsidP="00A2052C">
      <w:pPr>
        <w:pStyle w:val="Heading1"/>
      </w:pPr>
      <w:r w:rsidRPr="00CE0424">
        <w:t>Introduction</w:t>
      </w:r>
    </w:p>
    <w:p w14:paraId="7B16893D" w14:textId="69A8493E" w:rsidR="00A2052C" w:rsidRPr="00A2052C" w:rsidRDefault="40BF6C3F" w:rsidP="00A2052C">
      <w:r>
        <w:t>In the previous RAN2#102 meeting a possible ambiguity for RA-RNTI when two PRACH resource pools are configured were discussed. This is a relevant problem that needs to be solved in order for the MAC protocol to be functional. This problem is discussed further in this contribution</w:t>
      </w:r>
      <w:r w:rsidR="00332399">
        <w:t xml:space="preserve"> along with proposals to resolve the ambiguity</w:t>
      </w:r>
      <w:r>
        <w:t>.</w:t>
      </w:r>
    </w:p>
    <w:p w14:paraId="2A9BE27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7A3A2B9" w14:textId="7F6C46BC" w:rsidR="00061099" w:rsidRDefault="007D1199" w:rsidP="00CE0424">
      <w:pPr>
        <w:pStyle w:val="BodyText"/>
      </w:pPr>
      <w:r>
        <w:t xml:space="preserve">In contribution </w:t>
      </w:r>
      <w:r>
        <w:fldChar w:fldCharType="begin"/>
      </w:r>
      <w:r>
        <w:instrText xml:space="preserve"> REF _Ref516557536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061099">
        <w:t xml:space="preserve">the problem of ambiguous RA-RNTI definition when two PRACH resource pools are configured was noted. </w:t>
      </w:r>
      <w:r w:rsidR="00FD2E41">
        <w:t xml:space="preserve">Different PRACH pools may happen when one pool is configured for CBRA and another pool is configured for CFRA. </w:t>
      </w:r>
      <w:r w:rsidR="00061099">
        <w:t xml:space="preserve">The problem is illustrated in </w:t>
      </w:r>
      <w:r w:rsidR="00061099">
        <w:fldChar w:fldCharType="begin"/>
      </w:r>
      <w:r w:rsidR="00061099">
        <w:instrText xml:space="preserve"> REF _Ref516557764 \h </w:instrText>
      </w:r>
      <w:r w:rsidR="00061099">
        <w:fldChar w:fldCharType="separate"/>
      </w:r>
      <w:r w:rsidR="00061099">
        <w:t xml:space="preserve">Figure </w:t>
      </w:r>
      <w:r w:rsidR="00061099">
        <w:rPr>
          <w:noProof/>
        </w:rPr>
        <w:t>1</w:t>
      </w:r>
      <w:r w:rsidR="00061099">
        <w:fldChar w:fldCharType="end"/>
      </w:r>
      <w:r w:rsidR="00061099">
        <w:t xml:space="preserve"> where two PRACH resource pools are configured and two different resources will </w:t>
      </w:r>
      <w:r w:rsidR="00447921">
        <w:t xml:space="preserve">obtain </w:t>
      </w:r>
      <w:r w:rsidR="00061099">
        <w:t>the same RA-RNTI.</w:t>
      </w:r>
    </w:p>
    <w:p w14:paraId="7256339B" w14:textId="00F5E548" w:rsidR="00061099" w:rsidRDefault="00E511EA" w:rsidP="00CE0424">
      <w:pPr>
        <w:pStyle w:val="BodyText"/>
      </w:pPr>
      <w:r>
        <w:rPr>
          <w:noProof/>
        </w:rPr>
        <w:drawing>
          <wp:inline distT="0" distB="0" distL="0" distR="0" wp14:anchorId="5568A3F7" wp14:editId="3C1C050A">
            <wp:extent cx="6235200" cy="317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200" cy="31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E13DB7" w14:textId="3164D851" w:rsidR="00061099" w:rsidRDefault="00061099" w:rsidP="00061099">
      <w:pPr>
        <w:pStyle w:val="Caption"/>
      </w:pPr>
      <w:bookmarkStart w:id="2" w:name="_Ref5165577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418C">
        <w:rPr>
          <w:noProof/>
        </w:rPr>
        <w:t>1</w:t>
      </w:r>
      <w:r>
        <w:fldChar w:fldCharType="end"/>
      </w:r>
      <w:bookmarkEnd w:id="2"/>
      <w:r w:rsidR="00322B88">
        <w:t xml:space="preserve"> </w:t>
      </w:r>
      <w:r w:rsidR="001A73BE">
        <w:t>–</w:t>
      </w:r>
      <w:r w:rsidR="00322B88">
        <w:t xml:space="preserve"> </w:t>
      </w:r>
      <w:r w:rsidR="001A73BE">
        <w:t>Two PRACH pools, one for CFRA and one for CBRA</w:t>
      </w:r>
    </w:p>
    <w:p w14:paraId="12C7E031" w14:textId="4A87201A" w:rsidR="00061099" w:rsidRPr="00061099" w:rsidRDefault="00061099" w:rsidP="00061099">
      <w:r>
        <w:t>The problem stems from the fact that RA-RNTI only indicates the relative position of the preamble transmission within the PRACH pool</w:t>
      </w:r>
      <w:r w:rsidR="005A24D7">
        <w:t xml:space="preserve">. In the case exemplified in </w:t>
      </w:r>
      <w:r w:rsidR="005A24D7">
        <w:fldChar w:fldCharType="begin"/>
      </w:r>
      <w:r w:rsidR="005A24D7">
        <w:instrText xml:space="preserve"> REF _Ref516557764 \h </w:instrText>
      </w:r>
      <w:r w:rsidR="005A24D7">
        <w:fldChar w:fldCharType="separate"/>
      </w:r>
      <w:r w:rsidR="005A24D7">
        <w:t xml:space="preserve">Figure </w:t>
      </w:r>
      <w:r w:rsidR="005A24D7">
        <w:rPr>
          <w:noProof/>
        </w:rPr>
        <w:t>1</w:t>
      </w:r>
      <w:r w:rsidR="005A24D7">
        <w:fldChar w:fldCharType="end"/>
      </w:r>
      <w:r w:rsidR="005A24D7">
        <w:t xml:space="preserve">, the pools have different </w:t>
      </w:r>
      <w:r w:rsidR="005A24D7" w:rsidRPr="00971FAA">
        <w:rPr>
          <w:i/>
        </w:rPr>
        <w:t>msg1-FrequencyStart</w:t>
      </w:r>
      <w:r w:rsidR="005A24D7">
        <w:t xml:space="preserve"> resulting in different frequency positions even for PRACH resources with the same time index and same </w:t>
      </w:r>
      <w:proofErr w:type="spellStart"/>
      <w:r w:rsidR="005A24D7">
        <w:t>f_id</w:t>
      </w:r>
      <w:proofErr w:type="spellEnd"/>
      <w:r w:rsidR="005A24D7">
        <w:t>.</w:t>
      </w:r>
      <w:r w:rsidR="00FD2E41">
        <w:t xml:space="preserve"> The resulting problem is that a UE can not determine that a RAR scrambled with the RA-RNTI corresponds to </w:t>
      </w:r>
      <w:r w:rsidR="00FD2E41">
        <w:lastRenderedPageBreak/>
        <w:t>the UE</w:t>
      </w:r>
      <w:r w:rsidR="001A73BE">
        <w:t>’</w:t>
      </w:r>
      <w:r w:rsidR="00FD2E41">
        <w:t>s preamble transmission, since it could just as well correspond to a preamble transmission on the corresponding resource in the other PRACH pool.</w:t>
      </w:r>
    </w:p>
    <w:p w14:paraId="6C0A09A6" w14:textId="09B8FC77" w:rsidR="00CE0424" w:rsidRDefault="00FD2E41" w:rsidP="00A04F49">
      <w:pPr>
        <w:pStyle w:val="Observation"/>
      </w:pPr>
      <w:bookmarkStart w:id="3" w:name="_Toc347823812"/>
      <w:bookmarkStart w:id="4" w:name="_Toc347823993"/>
      <w:bookmarkStart w:id="5" w:name="_Toc347824244"/>
      <w:bookmarkStart w:id="6" w:name="_Toc516572624"/>
      <w:bookmarkStart w:id="7" w:name="_Toc517249198"/>
      <w:bookmarkStart w:id="8" w:name="_Toc517364010"/>
      <w:bookmarkStart w:id="9" w:name="_Toc517367904"/>
      <w:r>
        <w:t>The current RA-RNTI is not sufficient to unambiguously determine the PRACH resource used for the preamble transmission when more than one PRACH resource pool is configured</w:t>
      </w:r>
      <w:r w:rsidR="003D3C45">
        <w:t>.</w:t>
      </w:r>
      <w:bookmarkEnd w:id="3"/>
      <w:bookmarkEnd w:id="4"/>
      <w:bookmarkEnd w:id="5"/>
      <w:bookmarkEnd w:id="6"/>
      <w:bookmarkEnd w:id="7"/>
      <w:bookmarkEnd w:id="8"/>
      <w:bookmarkEnd w:id="9"/>
    </w:p>
    <w:p w14:paraId="0B2A1815" w14:textId="5FFCFA75" w:rsidR="00CE0424" w:rsidRDefault="00F71DF6" w:rsidP="00CE0424">
      <w:pPr>
        <w:pStyle w:val="Heading2"/>
      </w:pPr>
      <w:r>
        <w:t>Analysis</w:t>
      </w:r>
    </w:p>
    <w:p w14:paraId="454B731C" w14:textId="4C8DE3D4" w:rsidR="000A4980" w:rsidRDefault="00FD2E41" w:rsidP="00FD2E41">
      <w:r>
        <w:t xml:space="preserve">Several </w:t>
      </w:r>
      <w:r w:rsidR="00EF172D">
        <w:t>methods</w:t>
      </w:r>
      <w:r>
        <w:t xml:space="preserve"> of how to solve this issue is given in </w:t>
      </w:r>
      <w:r>
        <w:fldChar w:fldCharType="begin"/>
      </w:r>
      <w:r>
        <w:instrText xml:space="preserve"> REF _Ref516562777 \n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EF172D">
        <w:t xml:space="preserve"> What is proposed in </w:t>
      </w:r>
      <w:r w:rsidR="0095500D">
        <w:t>there</w:t>
      </w:r>
      <w:r w:rsidR="00EF172D">
        <w:t xml:space="preserve"> is to use one of the reserved bits in the RAR to distinguish CFRA and CBRA and thereby the PRACH resource pools. </w:t>
      </w:r>
      <w:r w:rsidR="000A4980">
        <w:t>This would be a possible way to do this but would use one of the reserved bits for a problem which could be solved by other methods.</w:t>
      </w:r>
      <w:r w:rsidR="00C60964">
        <w:t xml:space="preserve"> </w:t>
      </w:r>
      <w:r w:rsidR="00B97CBF">
        <w:t>Also, the reserved bit would be used also in the common case when no CFRA resources are configured</w:t>
      </w:r>
      <w:r w:rsidR="005A7705">
        <w:t>.</w:t>
      </w:r>
      <w:r w:rsidR="00C96B2A">
        <w:t xml:space="preserve"> </w:t>
      </w:r>
      <w:r w:rsidR="005A7705">
        <w:t>Another</w:t>
      </w:r>
      <w:r w:rsidR="00C96B2A">
        <w:t xml:space="preserve"> possib</w:t>
      </w:r>
      <w:r w:rsidR="005A7705">
        <w:t>ility</w:t>
      </w:r>
      <w:r w:rsidR="00C96B2A">
        <w:t xml:space="preserve"> would be to introduce a PRACH pool index in the RA-RNTI formula to distinguish CBRA and CFRA. As the RA-RNTI formula already has a much higher granularity than the corresponding LTE formula</w:t>
      </w:r>
      <w:r w:rsidR="00BD0F6E">
        <w:t xml:space="preserve">, increasing the RA-RNTI space even further would </w:t>
      </w:r>
      <w:r w:rsidR="00743AC8">
        <w:t>increase the decoding burden for the UE.</w:t>
      </w:r>
    </w:p>
    <w:p w14:paraId="4892FB55" w14:textId="193FA80D" w:rsidR="000E4415" w:rsidRDefault="00D26C5C" w:rsidP="000A4980">
      <w:pPr>
        <w:rPr>
          <w:iCs/>
        </w:rPr>
      </w:pPr>
      <w:r>
        <w:t xml:space="preserve">A </w:t>
      </w:r>
      <w:r w:rsidR="00A45C8A">
        <w:t xml:space="preserve">solution which would be straightforward to introduce is to distinguish </w:t>
      </w:r>
      <w:r w:rsidR="001249BC">
        <w:t xml:space="preserve">the PRACH pools by introducing a </w:t>
      </w:r>
      <w:r w:rsidR="006943EE">
        <w:t>frequency ID</w:t>
      </w:r>
      <w:r w:rsidR="00B97DA1">
        <w:t xml:space="preserve"> offset</w:t>
      </w:r>
      <w:r w:rsidR="001249BC">
        <w:t xml:space="preserve"> for the </w:t>
      </w:r>
      <w:proofErr w:type="spellStart"/>
      <w:r w:rsidR="001249BC">
        <w:t>f_ids</w:t>
      </w:r>
      <w:proofErr w:type="spellEnd"/>
      <w:r w:rsidR="005A103D">
        <w:t xml:space="preserve">. In this way the </w:t>
      </w:r>
      <w:proofErr w:type="spellStart"/>
      <w:r w:rsidR="005A103D">
        <w:t>f_id</w:t>
      </w:r>
      <w:proofErr w:type="spellEnd"/>
      <w:r w:rsidR="005A103D">
        <w:t xml:space="preserve"> numbering would be different for the different pools</w:t>
      </w:r>
      <w:r w:rsidR="00463C5E">
        <w:t xml:space="preserve">. In the example shown in </w:t>
      </w:r>
      <w:r w:rsidR="00F109AF">
        <w:fldChar w:fldCharType="begin"/>
      </w:r>
      <w:r w:rsidR="00F109AF">
        <w:instrText xml:space="preserve"> REF _Ref516564169 \h </w:instrText>
      </w:r>
      <w:r w:rsidR="00F109AF">
        <w:fldChar w:fldCharType="separate"/>
      </w:r>
      <w:r w:rsidR="00F109AF">
        <w:t xml:space="preserve">Figure </w:t>
      </w:r>
      <w:r w:rsidR="00F109AF">
        <w:rPr>
          <w:noProof/>
        </w:rPr>
        <w:t>2</w:t>
      </w:r>
      <w:r w:rsidR="00F109AF">
        <w:fldChar w:fldCharType="end"/>
      </w:r>
      <w:r w:rsidR="00F109AF">
        <w:t xml:space="preserve">, the PRACH pool for </w:t>
      </w:r>
      <w:r w:rsidR="000E61B3">
        <w:t>CBRA has a configured</w:t>
      </w:r>
      <w:r w:rsidR="00B97DA1" w:rsidRPr="00B97DA1">
        <w:t xml:space="preserve"> </w:t>
      </w:r>
      <w:r w:rsidR="00B97DA1">
        <w:t>frequency ID</w:t>
      </w:r>
      <w:r w:rsidR="000E61B3">
        <w:t xml:space="preserve"> offset so that the </w:t>
      </w:r>
      <w:proofErr w:type="spellStart"/>
      <w:r w:rsidR="000E61B3">
        <w:t>f_id</w:t>
      </w:r>
      <w:proofErr w:type="spellEnd"/>
      <w:r w:rsidR="000E61B3">
        <w:t xml:space="preserve"> starts at </w:t>
      </w:r>
      <w:proofErr w:type="spellStart"/>
      <w:r w:rsidR="00820A17">
        <w:t>f_id</w:t>
      </w:r>
      <w:proofErr w:type="spellEnd"/>
      <w:r w:rsidR="00820A17">
        <w:t>=</w:t>
      </w:r>
      <w:r w:rsidR="000E61B3">
        <w:t>1</w:t>
      </w:r>
      <w:r w:rsidR="00B33617">
        <w:t>, while the PRACH pool for CFRA has a</w:t>
      </w:r>
      <w:r w:rsidR="0077408B">
        <w:t xml:space="preserve"> frequency ID</w:t>
      </w:r>
      <w:r w:rsidR="00B33617">
        <w:t xml:space="preserve"> offset so that the</w:t>
      </w:r>
      <w:r w:rsidR="00820A17">
        <w:t xml:space="preserve"> </w:t>
      </w:r>
      <w:proofErr w:type="spellStart"/>
      <w:r w:rsidR="00820A17">
        <w:t>f_ids</w:t>
      </w:r>
      <w:proofErr w:type="spellEnd"/>
      <w:r w:rsidR="00820A17">
        <w:t xml:space="preserve"> start at </w:t>
      </w:r>
      <w:proofErr w:type="spellStart"/>
      <w:r w:rsidR="00820A17">
        <w:t>f_id</w:t>
      </w:r>
      <w:proofErr w:type="spellEnd"/>
      <w:r w:rsidR="00820A17">
        <w:t>=5.</w:t>
      </w:r>
      <w:r w:rsidR="001249BC">
        <w:t xml:space="preserve"> </w:t>
      </w:r>
      <w:r w:rsidR="00C96B2A">
        <w:rPr>
          <w:iCs/>
        </w:rPr>
        <w:t xml:space="preserve">As there is a possibility to use up to 8 different </w:t>
      </w:r>
      <w:proofErr w:type="spellStart"/>
      <w:r w:rsidR="00A71E0E">
        <w:rPr>
          <w:iCs/>
        </w:rPr>
        <w:t>f</w:t>
      </w:r>
      <w:r w:rsidR="001914EA">
        <w:rPr>
          <w:iCs/>
        </w:rPr>
        <w:t>_</w:t>
      </w:r>
      <w:r w:rsidR="00BA4AD4">
        <w:rPr>
          <w:iCs/>
        </w:rPr>
        <w:t>i</w:t>
      </w:r>
      <w:r w:rsidR="00A71E0E">
        <w:rPr>
          <w:iCs/>
        </w:rPr>
        <w:t>ds</w:t>
      </w:r>
      <w:proofErr w:type="spellEnd"/>
      <w:r w:rsidR="00A71E0E">
        <w:rPr>
          <w:iCs/>
        </w:rPr>
        <w:t xml:space="preserve"> </w:t>
      </w:r>
      <w:r w:rsidR="00C96B2A">
        <w:rPr>
          <w:iCs/>
        </w:rPr>
        <w:t>it is hard to see that PRACH resources would not be sufficient</w:t>
      </w:r>
      <w:r w:rsidR="00E90CB9">
        <w:rPr>
          <w:iCs/>
        </w:rPr>
        <w:t>.</w:t>
      </w:r>
    </w:p>
    <w:p w14:paraId="291919C4" w14:textId="48EDAF33" w:rsidR="00ED3E20" w:rsidRDefault="00781F74" w:rsidP="000A4980">
      <w:pPr>
        <w:rPr>
          <w:iCs/>
        </w:rPr>
      </w:pPr>
      <w:r>
        <w:rPr>
          <w:iCs/>
          <w:noProof/>
        </w:rPr>
        <w:drawing>
          <wp:inline distT="0" distB="0" distL="0" distR="0" wp14:anchorId="1581E3E0" wp14:editId="185E99E9">
            <wp:extent cx="6213600" cy="3178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600" cy="31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B62516" w14:textId="4BCC81D4" w:rsidR="00C9418C" w:rsidRDefault="00C9418C" w:rsidP="00C9418C">
      <w:pPr>
        <w:pStyle w:val="Caption"/>
        <w:rPr>
          <w:iCs/>
        </w:rPr>
      </w:pPr>
      <w:bookmarkStart w:id="10" w:name="_Ref516564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 xml:space="preserve">. Example with PRACH pools </w:t>
      </w:r>
      <w:r w:rsidR="003E59B4">
        <w:t xml:space="preserve">using different </w:t>
      </w:r>
      <w:r w:rsidR="006943EE">
        <w:t>frequency ID offsets.</w:t>
      </w:r>
    </w:p>
    <w:p w14:paraId="0576F117" w14:textId="6D0ECA3E" w:rsidR="00C96B2A" w:rsidRDefault="00F240D5" w:rsidP="00C96B2A">
      <w:pPr>
        <w:pStyle w:val="Proposal"/>
      </w:pPr>
      <w:bookmarkStart w:id="11" w:name="_Toc517364013"/>
      <w:bookmarkStart w:id="12" w:name="_Toc516572628"/>
      <w:bookmarkStart w:id="13" w:name="_Toc517249210"/>
      <w:bookmarkStart w:id="14" w:name="_Toc517367905"/>
      <w:bookmarkStart w:id="15" w:name="_Ref190406817"/>
      <w:bookmarkStart w:id="16" w:name="_Toc226862296"/>
      <w:bookmarkStart w:id="17" w:name="_Toc347823621"/>
      <w:bookmarkStart w:id="18" w:name="_Toc347824073"/>
      <w:bookmarkStart w:id="19" w:name="_Toc347824246"/>
      <w:bookmarkStart w:id="20" w:name="_Toc517380255"/>
      <w:bookmarkStart w:id="21" w:name="_Toc517380273"/>
      <w:r>
        <w:t>Introduce a</w:t>
      </w:r>
      <w:r w:rsidR="00C52575">
        <w:t xml:space="preserve"> </w:t>
      </w:r>
      <w:r w:rsidR="00792472">
        <w:t>frequency ID</w:t>
      </w:r>
      <w:r w:rsidR="00C52575">
        <w:t xml:space="preserve"> offset </w:t>
      </w:r>
      <w:r w:rsidR="00C52575" w:rsidRPr="00C52575">
        <w:rPr>
          <w:i/>
        </w:rPr>
        <w:t>k</w:t>
      </w:r>
      <w:r w:rsidR="00C52575">
        <w:t xml:space="preserve"> </w:t>
      </w:r>
      <w:r w:rsidR="00063D47">
        <w:t>for</w:t>
      </w:r>
      <w:r w:rsidR="00C52575">
        <w:t xml:space="preserve"> frequency offset</w:t>
      </w:r>
      <w:r w:rsidR="00063D47">
        <w:t xml:space="preserve"> calculation so that CFRA and CBRA have unique frequency IDs</w:t>
      </w:r>
      <w:bookmarkEnd w:id="11"/>
      <w:bookmarkEnd w:id="12"/>
      <w:bookmarkEnd w:id="13"/>
      <w:bookmarkEnd w:id="14"/>
      <w:bookmarkEnd w:id="20"/>
      <w:r w:rsidR="003F7D50">
        <w:t>.</w:t>
      </w:r>
      <w:bookmarkEnd w:id="21"/>
    </w:p>
    <w:p w14:paraId="6F3CD493" w14:textId="03C3DBC7" w:rsidR="00C96B2A" w:rsidRDefault="00792472" w:rsidP="00C96B2A">
      <w:pPr>
        <w:pStyle w:val="Proposal"/>
      </w:pPr>
      <w:bookmarkStart w:id="22" w:name="_Toc517364014"/>
      <w:bookmarkStart w:id="23" w:name="_Toc517367906"/>
      <w:bookmarkStart w:id="24" w:name="_Toc517380256"/>
      <w:bookmarkStart w:id="25" w:name="_Toc517380274"/>
      <w:r>
        <w:t>The frequency ID offset is signalled in RACH-</w:t>
      </w:r>
      <w:proofErr w:type="spellStart"/>
      <w:r>
        <w:t>Config</w:t>
      </w:r>
      <w:r w:rsidR="00295F3C">
        <w:t>Generic</w:t>
      </w:r>
      <w:proofErr w:type="spellEnd"/>
      <w:r>
        <w:t xml:space="preserve"> together with </w:t>
      </w:r>
      <w:proofErr w:type="spellStart"/>
      <w:r w:rsidRPr="00576E3F">
        <w:rPr>
          <w:i/>
        </w:rPr>
        <w:t>frequencyStart</w:t>
      </w:r>
      <w:bookmarkEnd w:id="15"/>
      <w:bookmarkEnd w:id="16"/>
      <w:bookmarkEnd w:id="17"/>
      <w:bookmarkEnd w:id="18"/>
      <w:bookmarkEnd w:id="19"/>
      <w:proofErr w:type="spellEnd"/>
      <w:r w:rsidR="00576E3F">
        <w:t>.</w:t>
      </w:r>
      <w:bookmarkEnd w:id="22"/>
      <w:bookmarkEnd w:id="23"/>
      <w:bookmarkEnd w:id="24"/>
      <w:bookmarkEnd w:id="25"/>
      <w:r w:rsidR="00576E3F">
        <w:t xml:space="preserve"> </w:t>
      </w:r>
    </w:p>
    <w:p w14:paraId="72964F69" w14:textId="41191076" w:rsidR="00576E3F" w:rsidRDefault="00576E3F" w:rsidP="00C96B2A">
      <w:pPr>
        <w:pStyle w:val="Proposal"/>
      </w:pPr>
      <w:bookmarkStart w:id="26" w:name="_Toc517364015"/>
      <w:bookmarkStart w:id="27" w:name="_Toc517367907"/>
      <w:bookmarkStart w:id="28" w:name="_Toc517380257"/>
      <w:bookmarkStart w:id="29" w:name="_Toc517380275"/>
      <w:r>
        <w:t xml:space="preserve">It is up to the network to ensure that the </w:t>
      </w:r>
      <w:r w:rsidR="00553C38">
        <w:t>offsets are configured to result in orthogonal resource allocation between CB and CFRA.</w:t>
      </w:r>
      <w:bookmarkEnd w:id="26"/>
      <w:bookmarkEnd w:id="27"/>
      <w:bookmarkEnd w:id="28"/>
      <w:bookmarkEnd w:id="29"/>
      <w:r w:rsidR="00553C38">
        <w:t xml:space="preserve"> </w:t>
      </w:r>
    </w:p>
    <w:p w14:paraId="79994B4A" w14:textId="25D75ED5" w:rsidR="00B430D5" w:rsidRDefault="00B430D5" w:rsidP="00B430D5">
      <w:pPr>
        <w:pStyle w:val="BodyText"/>
      </w:pPr>
      <w:r>
        <w:t>There is a CR for RRC in R2-181</w:t>
      </w:r>
      <w:r w:rsidR="00CB5D50">
        <w:t>0280</w:t>
      </w:r>
      <w:r w:rsidR="00621B0B">
        <w:t xml:space="preserve"> and a CR for MAC in R2-1810327.</w:t>
      </w:r>
    </w:p>
    <w:p w14:paraId="73C027DD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C81F54B" w14:textId="4C5C2FAE" w:rsidR="00D22540" w:rsidRPr="00FA73F0" w:rsidRDefault="008E065E">
      <w:pPr>
        <w:pStyle w:val="TOC1"/>
        <w:rPr>
          <w:b w:val="0"/>
        </w:rPr>
      </w:pPr>
      <w:r w:rsidRPr="00FA73F0">
        <w:rPr>
          <w:b w:val="0"/>
        </w:rPr>
        <w:t xml:space="preserve">In section </w:t>
      </w:r>
      <w:r w:rsidRPr="00FA73F0">
        <w:rPr>
          <w:b w:val="0"/>
          <w:highlight w:val="cyan"/>
        </w:rPr>
        <w:fldChar w:fldCharType="begin"/>
      </w:r>
      <w:r w:rsidRPr="00FA73F0">
        <w:rPr>
          <w:b w:val="0"/>
        </w:rPr>
        <w:instrText xml:space="preserve"> REF _Ref178064866 \r \h </w:instrText>
      </w:r>
      <w:r w:rsidR="00FA73F0">
        <w:rPr>
          <w:b w:val="0"/>
          <w:highlight w:val="cyan"/>
        </w:rPr>
        <w:instrText xml:space="preserve"> \* MERGEFORMAT </w:instrText>
      </w:r>
      <w:r w:rsidRPr="00FA73F0">
        <w:rPr>
          <w:b w:val="0"/>
          <w:highlight w:val="cyan"/>
        </w:rPr>
      </w:r>
      <w:r w:rsidRPr="00FA73F0">
        <w:rPr>
          <w:b w:val="0"/>
          <w:highlight w:val="cyan"/>
        </w:rPr>
        <w:fldChar w:fldCharType="separate"/>
      </w:r>
      <w:r w:rsidR="00284CE8" w:rsidRPr="00FA73F0">
        <w:rPr>
          <w:b w:val="0"/>
        </w:rPr>
        <w:t>2</w:t>
      </w:r>
      <w:r w:rsidRPr="00FA73F0">
        <w:rPr>
          <w:b w:val="0"/>
          <w:highlight w:val="cyan"/>
        </w:rPr>
        <w:fldChar w:fldCharType="end"/>
      </w:r>
      <w:r w:rsidRPr="00FA73F0">
        <w:rPr>
          <w:b w:val="0"/>
        </w:rPr>
        <w:t xml:space="preserve"> we made the following observations:</w:t>
      </w:r>
    </w:p>
    <w:p w14:paraId="5EB4C24D" w14:textId="77777777" w:rsidR="00FA73F0" w:rsidRPr="00FA73F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FA73F0">
        <w:t>Observation 1</w:t>
      </w:r>
      <w:r w:rsidR="00FA73F0" w:rsidRPr="00FA73F0">
        <w:rPr>
          <w:rFonts w:asciiTheme="minorHAnsi" w:eastAsiaTheme="minorEastAsia" w:hAnsiTheme="minorHAnsi" w:cstheme="minorBidi"/>
          <w:b w:val="0"/>
          <w:sz w:val="22"/>
        </w:rPr>
        <w:tab/>
      </w:r>
      <w:r w:rsidR="00FA73F0">
        <w:t>The current RA-RNTI is not sufficient to unambiguously determine the PRACH resource used for the preamble transmission when more than one PRACH resource pool is configured.</w:t>
      </w:r>
    </w:p>
    <w:p w14:paraId="78ECE211" w14:textId="0855CD61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405E85C" w14:textId="079DF663" w:rsidR="00D22540" w:rsidRPr="00FA73F0" w:rsidRDefault="008E065E">
      <w:pPr>
        <w:pStyle w:val="TOC1"/>
        <w:rPr>
          <w:b w:val="0"/>
        </w:rPr>
      </w:pPr>
      <w:r w:rsidRPr="00FA73F0">
        <w:rPr>
          <w:b w:val="0"/>
        </w:rPr>
        <w:t xml:space="preserve">Based on the discussion in section </w:t>
      </w:r>
      <w:r w:rsidRPr="00FA73F0">
        <w:rPr>
          <w:b w:val="0"/>
          <w:highlight w:val="cyan"/>
        </w:rPr>
        <w:fldChar w:fldCharType="begin"/>
      </w:r>
      <w:r w:rsidRPr="00FA73F0">
        <w:rPr>
          <w:b w:val="0"/>
        </w:rPr>
        <w:instrText xml:space="preserve"> REF _Ref178064866 \r \h </w:instrText>
      </w:r>
      <w:r w:rsidR="00FA73F0">
        <w:rPr>
          <w:b w:val="0"/>
          <w:highlight w:val="cyan"/>
        </w:rPr>
        <w:instrText xml:space="preserve"> \* MERGEFORMAT </w:instrText>
      </w:r>
      <w:r w:rsidRPr="00FA73F0">
        <w:rPr>
          <w:b w:val="0"/>
          <w:highlight w:val="cyan"/>
        </w:rPr>
      </w:r>
      <w:r w:rsidRPr="00FA73F0">
        <w:rPr>
          <w:b w:val="0"/>
          <w:highlight w:val="cyan"/>
        </w:rPr>
        <w:fldChar w:fldCharType="separate"/>
      </w:r>
      <w:r w:rsidR="00284CE8" w:rsidRPr="00FA73F0">
        <w:rPr>
          <w:b w:val="0"/>
        </w:rPr>
        <w:t>2</w:t>
      </w:r>
      <w:r w:rsidRPr="00FA73F0">
        <w:rPr>
          <w:b w:val="0"/>
          <w:highlight w:val="cyan"/>
        </w:rPr>
        <w:fldChar w:fldCharType="end"/>
      </w:r>
      <w:r w:rsidRPr="00FA73F0">
        <w:rPr>
          <w:b w:val="0"/>
        </w:rPr>
        <w:t xml:space="preserve"> we propose the following:</w:t>
      </w:r>
    </w:p>
    <w:p w14:paraId="65C19609" w14:textId="77777777" w:rsidR="003F7D50" w:rsidRPr="003F7D5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F7D50">
        <w:t>Proposal 1</w:t>
      </w:r>
      <w:r w:rsidR="003F7D50" w:rsidRPr="003F7D50">
        <w:rPr>
          <w:rFonts w:asciiTheme="minorHAnsi" w:eastAsiaTheme="minorEastAsia" w:hAnsiTheme="minorHAnsi" w:cstheme="minorBidi"/>
          <w:b w:val="0"/>
          <w:sz w:val="22"/>
        </w:rPr>
        <w:tab/>
      </w:r>
      <w:r w:rsidR="003F7D50">
        <w:t xml:space="preserve">Introduce a frequency ID offset </w:t>
      </w:r>
      <w:r w:rsidR="003F7D50" w:rsidRPr="00B354D1">
        <w:rPr>
          <w:i/>
        </w:rPr>
        <w:t>k</w:t>
      </w:r>
      <w:r w:rsidR="003F7D50">
        <w:t xml:space="preserve"> for frequency offset calculation so that CFRA and CBRA have unique frequency IDs.</w:t>
      </w:r>
    </w:p>
    <w:p w14:paraId="4EA5B1B5" w14:textId="77777777" w:rsidR="003F7D50" w:rsidRPr="003F7D50" w:rsidRDefault="003F7D5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3F7D50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frequency ID offset is signalled in RACH-ConfigGeneric together with </w:t>
      </w:r>
      <w:r w:rsidRPr="00B354D1">
        <w:rPr>
          <w:i/>
        </w:rPr>
        <w:t>frequencyStart</w:t>
      </w:r>
      <w:r>
        <w:t>.</w:t>
      </w:r>
    </w:p>
    <w:p w14:paraId="459F4FCF" w14:textId="77777777" w:rsidR="003F7D50" w:rsidRPr="003F7D50" w:rsidRDefault="003F7D5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3F7D50">
        <w:rPr>
          <w:rFonts w:asciiTheme="minorHAnsi" w:eastAsiaTheme="minorEastAsia" w:hAnsiTheme="minorHAnsi" w:cstheme="minorBidi"/>
          <w:b w:val="0"/>
          <w:sz w:val="22"/>
        </w:rPr>
        <w:tab/>
      </w:r>
      <w:r>
        <w:t>It is up to the network to ensure that the offsets are configured to result in orthogonal resource allocation between CB and CFRA.</w:t>
      </w:r>
    </w:p>
    <w:p w14:paraId="73D143DD" w14:textId="358C6313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DB0E46A" w14:textId="77777777" w:rsidR="00F507D1" w:rsidRPr="00CE0424" w:rsidRDefault="00F507D1" w:rsidP="00CE0424">
      <w:pPr>
        <w:pStyle w:val="Heading1"/>
      </w:pPr>
      <w:bookmarkStart w:id="30" w:name="_In-sequence_SDU_delivery"/>
      <w:bookmarkEnd w:id="30"/>
      <w:r w:rsidRPr="00CE0424">
        <w:t>References</w:t>
      </w:r>
    </w:p>
    <w:p w14:paraId="663791FE" w14:textId="092EBEB7" w:rsidR="005F3025" w:rsidRPr="00CE0424" w:rsidRDefault="007D1199" w:rsidP="00311702">
      <w:pPr>
        <w:pStyle w:val="Reference"/>
      </w:pPr>
      <w:bookmarkStart w:id="31" w:name="_Ref516557536"/>
      <w:bookmarkStart w:id="32" w:name="_Ref516562777"/>
      <w:bookmarkStart w:id="33" w:name="_Ref174151459"/>
      <w:bookmarkStart w:id="34" w:name="_Ref189809556"/>
      <w:r w:rsidRPr="007D1199">
        <w:rPr>
          <w:rFonts w:hint="eastAsia"/>
        </w:rPr>
        <w:t>R2-1808424</w:t>
      </w:r>
      <w:r w:rsidR="005F3025" w:rsidRPr="00CE0424">
        <w:t xml:space="preserve">, </w:t>
      </w:r>
      <w:r w:rsidRPr="007D1199">
        <w:rPr>
          <w:rFonts w:hint="eastAsia"/>
        </w:rPr>
        <w:t>Discussion on the ambiguity in Msg2 reception</w:t>
      </w:r>
      <w:r w:rsidR="005F3025" w:rsidRPr="00CE0424">
        <w:t xml:space="preserve">, </w:t>
      </w:r>
      <w:r w:rsidRPr="007D1199">
        <w:rPr>
          <w:rFonts w:hint="eastAsia"/>
        </w:rPr>
        <w:t>ZTE Corporation</w:t>
      </w:r>
      <w:r w:rsidR="005F3025" w:rsidRPr="00CE0424">
        <w:t xml:space="preserve">, </w:t>
      </w:r>
      <w:r w:rsidRPr="007D1199">
        <w:rPr>
          <w:rFonts w:hint="eastAsia"/>
        </w:rPr>
        <w:t>3GPP TSG-RAN WG2 Meeting #102</w:t>
      </w:r>
      <w:r w:rsidR="005F3025" w:rsidRPr="00CE0424">
        <w:t xml:space="preserve">, </w:t>
      </w:r>
      <w:bookmarkEnd w:id="31"/>
      <w:r w:rsidRPr="007D1199">
        <w:rPr>
          <w:rFonts w:hint="eastAsia"/>
        </w:rPr>
        <w:t>21st – 25th May 2018</w:t>
      </w:r>
      <w:bookmarkEnd w:id="32"/>
    </w:p>
    <w:bookmarkEnd w:id="33"/>
    <w:bookmarkEnd w:id="34"/>
    <w:p w14:paraId="067AB15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9ADD0" w14:textId="77777777" w:rsidR="00F92B62" w:rsidRDefault="00F92B62">
      <w:r>
        <w:separator/>
      </w:r>
    </w:p>
  </w:endnote>
  <w:endnote w:type="continuationSeparator" w:id="0">
    <w:p w14:paraId="0464275A" w14:textId="77777777" w:rsidR="00F92B62" w:rsidRDefault="00F92B62">
      <w:r>
        <w:continuationSeparator/>
      </w:r>
    </w:p>
  </w:endnote>
  <w:endnote w:type="continuationNotice" w:id="1">
    <w:p w14:paraId="544F6B35" w14:textId="77777777" w:rsidR="00F92B62" w:rsidRDefault="00F92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3933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ADD1D" w14:textId="77777777" w:rsidR="00F92B62" w:rsidRDefault="00F92B62">
      <w:r>
        <w:separator/>
      </w:r>
    </w:p>
  </w:footnote>
  <w:footnote w:type="continuationSeparator" w:id="0">
    <w:p w14:paraId="1B431112" w14:textId="77777777" w:rsidR="00F92B62" w:rsidRDefault="00F92B62">
      <w:r>
        <w:continuationSeparator/>
      </w:r>
    </w:p>
  </w:footnote>
  <w:footnote w:type="continuationNotice" w:id="1">
    <w:p w14:paraId="57995D1A" w14:textId="77777777" w:rsidR="00F92B62" w:rsidRDefault="00F92B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2C02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47E1C25"/>
    <w:multiLevelType w:val="hybridMultilevel"/>
    <w:tmpl w:val="C7FC8900"/>
    <w:lvl w:ilvl="0" w:tplc="5A525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60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48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0C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30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6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6F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C9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2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E8"/>
    <w:rsid w:val="000006E1"/>
    <w:rsid w:val="00002A37"/>
    <w:rsid w:val="000039F4"/>
    <w:rsid w:val="00006446"/>
    <w:rsid w:val="00006896"/>
    <w:rsid w:val="00007CDC"/>
    <w:rsid w:val="00011B28"/>
    <w:rsid w:val="00014825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C53"/>
    <w:rsid w:val="00052A07"/>
    <w:rsid w:val="000534E3"/>
    <w:rsid w:val="00053734"/>
    <w:rsid w:val="0005606A"/>
    <w:rsid w:val="00057117"/>
    <w:rsid w:val="00061099"/>
    <w:rsid w:val="000616E7"/>
    <w:rsid w:val="00063D4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980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15"/>
    <w:rsid w:val="000E61B3"/>
    <w:rsid w:val="000F06D6"/>
    <w:rsid w:val="000F0EB1"/>
    <w:rsid w:val="000F1106"/>
    <w:rsid w:val="000F3BE9"/>
    <w:rsid w:val="000F3F6C"/>
    <w:rsid w:val="000F49CA"/>
    <w:rsid w:val="000F6DF3"/>
    <w:rsid w:val="001005FF"/>
    <w:rsid w:val="00100C1A"/>
    <w:rsid w:val="001062FB"/>
    <w:rsid w:val="001063E6"/>
    <w:rsid w:val="00113CF4"/>
    <w:rsid w:val="001153EA"/>
    <w:rsid w:val="00115643"/>
    <w:rsid w:val="00116765"/>
    <w:rsid w:val="001219F5"/>
    <w:rsid w:val="00121A20"/>
    <w:rsid w:val="00121B0B"/>
    <w:rsid w:val="0012377F"/>
    <w:rsid w:val="00124314"/>
    <w:rsid w:val="001249BC"/>
    <w:rsid w:val="00126B4A"/>
    <w:rsid w:val="00132FD0"/>
    <w:rsid w:val="001344C0"/>
    <w:rsid w:val="001346FA"/>
    <w:rsid w:val="00135252"/>
    <w:rsid w:val="00137AB5"/>
    <w:rsid w:val="00137F0B"/>
    <w:rsid w:val="00141B94"/>
    <w:rsid w:val="00151E23"/>
    <w:rsid w:val="001526E0"/>
    <w:rsid w:val="001551B5"/>
    <w:rsid w:val="001659C1"/>
    <w:rsid w:val="00173A8E"/>
    <w:rsid w:val="00177795"/>
    <w:rsid w:val="0018143F"/>
    <w:rsid w:val="00190AC1"/>
    <w:rsid w:val="001914EA"/>
    <w:rsid w:val="0019341A"/>
    <w:rsid w:val="00197943"/>
    <w:rsid w:val="00197DF9"/>
    <w:rsid w:val="001A1987"/>
    <w:rsid w:val="001A2564"/>
    <w:rsid w:val="001A480D"/>
    <w:rsid w:val="001A6173"/>
    <w:rsid w:val="001A6CBA"/>
    <w:rsid w:val="001A73BE"/>
    <w:rsid w:val="001B0D97"/>
    <w:rsid w:val="001B5A5D"/>
    <w:rsid w:val="001C1CE5"/>
    <w:rsid w:val="001C3D2A"/>
    <w:rsid w:val="001D51BA"/>
    <w:rsid w:val="001D6342"/>
    <w:rsid w:val="001D6D53"/>
    <w:rsid w:val="001E1662"/>
    <w:rsid w:val="001E58E2"/>
    <w:rsid w:val="001E59A7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4CE"/>
    <w:rsid w:val="002224DB"/>
    <w:rsid w:val="00223FCB"/>
    <w:rsid w:val="002252C3"/>
    <w:rsid w:val="00225C54"/>
    <w:rsid w:val="00230765"/>
    <w:rsid w:val="00230C1B"/>
    <w:rsid w:val="002319E4"/>
    <w:rsid w:val="00235632"/>
    <w:rsid w:val="00235872"/>
    <w:rsid w:val="00241559"/>
    <w:rsid w:val="002435B3"/>
    <w:rsid w:val="002458EB"/>
    <w:rsid w:val="002465C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CC2"/>
    <w:rsid w:val="0028280A"/>
    <w:rsid w:val="00284CE8"/>
    <w:rsid w:val="00286ACD"/>
    <w:rsid w:val="00287838"/>
    <w:rsid w:val="0029076F"/>
    <w:rsid w:val="002907B5"/>
    <w:rsid w:val="00292EB7"/>
    <w:rsid w:val="00295F3C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B88"/>
    <w:rsid w:val="00322C9F"/>
    <w:rsid w:val="00324D23"/>
    <w:rsid w:val="00331751"/>
    <w:rsid w:val="00332399"/>
    <w:rsid w:val="00334579"/>
    <w:rsid w:val="00335858"/>
    <w:rsid w:val="00336BDA"/>
    <w:rsid w:val="00342BD7"/>
    <w:rsid w:val="00343A07"/>
    <w:rsid w:val="00346DB5"/>
    <w:rsid w:val="003477B1"/>
    <w:rsid w:val="0035491B"/>
    <w:rsid w:val="003549A5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F7E"/>
    <w:rsid w:val="003D3C45"/>
    <w:rsid w:val="003D5609"/>
    <w:rsid w:val="003D5B1F"/>
    <w:rsid w:val="003E15FA"/>
    <w:rsid w:val="003E52C9"/>
    <w:rsid w:val="003E55E4"/>
    <w:rsid w:val="003E59B4"/>
    <w:rsid w:val="003E74E3"/>
    <w:rsid w:val="003F05C7"/>
    <w:rsid w:val="003F2CD4"/>
    <w:rsid w:val="003F4D47"/>
    <w:rsid w:val="003F6BBE"/>
    <w:rsid w:val="003F7D50"/>
    <w:rsid w:val="004000E8"/>
    <w:rsid w:val="00402E2B"/>
    <w:rsid w:val="0040512B"/>
    <w:rsid w:val="00405CA5"/>
    <w:rsid w:val="00407CD3"/>
    <w:rsid w:val="00410134"/>
    <w:rsid w:val="00410B72"/>
    <w:rsid w:val="00410F18"/>
    <w:rsid w:val="00411B7D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47921"/>
    <w:rsid w:val="00447C93"/>
    <w:rsid w:val="004517AA"/>
    <w:rsid w:val="00452CAC"/>
    <w:rsid w:val="00457565"/>
    <w:rsid w:val="00457B71"/>
    <w:rsid w:val="00463C5E"/>
    <w:rsid w:val="004669E2"/>
    <w:rsid w:val="00470C31"/>
    <w:rsid w:val="004734D0"/>
    <w:rsid w:val="0047556B"/>
    <w:rsid w:val="00477768"/>
    <w:rsid w:val="00492BC5"/>
    <w:rsid w:val="004964F1"/>
    <w:rsid w:val="0049736F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C38"/>
    <w:rsid w:val="00554E19"/>
    <w:rsid w:val="005601B9"/>
    <w:rsid w:val="00560519"/>
    <w:rsid w:val="0056121F"/>
    <w:rsid w:val="00572505"/>
    <w:rsid w:val="00576E3F"/>
    <w:rsid w:val="00580C6A"/>
    <w:rsid w:val="00582809"/>
    <w:rsid w:val="00586997"/>
    <w:rsid w:val="0058798C"/>
    <w:rsid w:val="005900FA"/>
    <w:rsid w:val="005935A4"/>
    <w:rsid w:val="005948C2"/>
    <w:rsid w:val="00595DCA"/>
    <w:rsid w:val="0059779B"/>
    <w:rsid w:val="005A103D"/>
    <w:rsid w:val="005A209A"/>
    <w:rsid w:val="005A24D7"/>
    <w:rsid w:val="005A662D"/>
    <w:rsid w:val="005A7705"/>
    <w:rsid w:val="005B35D7"/>
    <w:rsid w:val="005B392A"/>
    <w:rsid w:val="005B3AA3"/>
    <w:rsid w:val="005B591A"/>
    <w:rsid w:val="005B6F83"/>
    <w:rsid w:val="005C74FB"/>
    <w:rsid w:val="005D1602"/>
    <w:rsid w:val="005E03C7"/>
    <w:rsid w:val="005E2A3B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B0B"/>
    <w:rsid w:val="006234A6"/>
    <w:rsid w:val="00625D8E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99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3EE"/>
    <w:rsid w:val="006950B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178"/>
    <w:rsid w:val="006F58D4"/>
    <w:rsid w:val="00700EF5"/>
    <w:rsid w:val="007030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AC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408B"/>
    <w:rsid w:val="007755F2"/>
    <w:rsid w:val="00776971"/>
    <w:rsid w:val="0078177E"/>
    <w:rsid w:val="00781F74"/>
    <w:rsid w:val="0078304C"/>
    <w:rsid w:val="00783673"/>
    <w:rsid w:val="00785490"/>
    <w:rsid w:val="0079247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E23"/>
    <w:rsid w:val="007C3D18"/>
    <w:rsid w:val="007C4F0D"/>
    <w:rsid w:val="007C60BF"/>
    <w:rsid w:val="007C6A07"/>
    <w:rsid w:val="007C75A1"/>
    <w:rsid w:val="007C77A5"/>
    <w:rsid w:val="007D04E5"/>
    <w:rsid w:val="007D1199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114"/>
    <w:rsid w:val="008158D6"/>
    <w:rsid w:val="00817196"/>
    <w:rsid w:val="00820A1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9BB"/>
    <w:rsid w:val="00894A88"/>
    <w:rsid w:val="00895386"/>
    <w:rsid w:val="008A20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AEC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500"/>
    <w:rsid w:val="009053AA"/>
    <w:rsid w:val="00906939"/>
    <w:rsid w:val="00910B7D"/>
    <w:rsid w:val="00910EEC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500D"/>
    <w:rsid w:val="0095681E"/>
    <w:rsid w:val="009572D4"/>
    <w:rsid w:val="00961921"/>
    <w:rsid w:val="0096430A"/>
    <w:rsid w:val="0096554B"/>
    <w:rsid w:val="0096584A"/>
    <w:rsid w:val="00971F08"/>
    <w:rsid w:val="00971FAA"/>
    <w:rsid w:val="0097603D"/>
    <w:rsid w:val="00976949"/>
    <w:rsid w:val="00980477"/>
    <w:rsid w:val="009850E7"/>
    <w:rsid w:val="00985253"/>
    <w:rsid w:val="009853B3"/>
    <w:rsid w:val="00990630"/>
    <w:rsid w:val="00991761"/>
    <w:rsid w:val="00994DCA"/>
    <w:rsid w:val="009960EC"/>
    <w:rsid w:val="009970DD"/>
    <w:rsid w:val="009A0FBA"/>
    <w:rsid w:val="009A10EE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5E92"/>
    <w:rsid w:val="009D703C"/>
    <w:rsid w:val="009D718F"/>
    <w:rsid w:val="009E068F"/>
    <w:rsid w:val="009E14E0"/>
    <w:rsid w:val="009E35DB"/>
    <w:rsid w:val="009E47A3"/>
    <w:rsid w:val="009F08F3"/>
    <w:rsid w:val="009F344F"/>
    <w:rsid w:val="009F6915"/>
    <w:rsid w:val="00A048A8"/>
    <w:rsid w:val="00A04F49"/>
    <w:rsid w:val="00A13E54"/>
    <w:rsid w:val="00A17F63"/>
    <w:rsid w:val="00A2052C"/>
    <w:rsid w:val="00A20DF0"/>
    <w:rsid w:val="00A2193B"/>
    <w:rsid w:val="00A2351A"/>
    <w:rsid w:val="00A264A9"/>
    <w:rsid w:val="00A27785"/>
    <w:rsid w:val="00A30187"/>
    <w:rsid w:val="00A33F84"/>
    <w:rsid w:val="00A3448A"/>
    <w:rsid w:val="00A36297"/>
    <w:rsid w:val="00A41E2B"/>
    <w:rsid w:val="00A42159"/>
    <w:rsid w:val="00A45B74"/>
    <w:rsid w:val="00A45C8A"/>
    <w:rsid w:val="00A52E1D"/>
    <w:rsid w:val="00A61499"/>
    <w:rsid w:val="00A61642"/>
    <w:rsid w:val="00A62A77"/>
    <w:rsid w:val="00A63483"/>
    <w:rsid w:val="00A64AF0"/>
    <w:rsid w:val="00A657D7"/>
    <w:rsid w:val="00A660AC"/>
    <w:rsid w:val="00A66C5B"/>
    <w:rsid w:val="00A66F55"/>
    <w:rsid w:val="00A67E6C"/>
    <w:rsid w:val="00A71B99"/>
    <w:rsid w:val="00A71E0E"/>
    <w:rsid w:val="00A739D0"/>
    <w:rsid w:val="00A761D4"/>
    <w:rsid w:val="00A77EC4"/>
    <w:rsid w:val="00A84A66"/>
    <w:rsid w:val="00A92879"/>
    <w:rsid w:val="00A92939"/>
    <w:rsid w:val="00A9442A"/>
    <w:rsid w:val="00AA016F"/>
    <w:rsid w:val="00AA1ED6"/>
    <w:rsid w:val="00AA51D6"/>
    <w:rsid w:val="00AB0BC8"/>
    <w:rsid w:val="00AB11CA"/>
    <w:rsid w:val="00AB14D9"/>
    <w:rsid w:val="00AB1E7E"/>
    <w:rsid w:val="00AB4AB8"/>
    <w:rsid w:val="00AB655E"/>
    <w:rsid w:val="00AC007F"/>
    <w:rsid w:val="00AC2ECD"/>
    <w:rsid w:val="00AC3119"/>
    <w:rsid w:val="00AC49FB"/>
    <w:rsid w:val="00AC5A10"/>
    <w:rsid w:val="00AC7C41"/>
    <w:rsid w:val="00AD0AA3"/>
    <w:rsid w:val="00AD3F94"/>
    <w:rsid w:val="00AD4A5A"/>
    <w:rsid w:val="00AD7330"/>
    <w:rsid w:val="00AE27AC"/>
    <w:rsid w:val="00AE3743"/>
    <w:rsid w:val="00AE40E0"/>
    <w:rsid w:val="00AE4DBA"/>
    <w:rsid w:val="00AE4F07"/>
    <w:rsid w:val="00AF1C5D"/>
    <w:rsid w:val="00AF42D7"/>
    <w:rsid w:val="00AF692F"/>
    <w:rsid w:val="00B006FE"/>
    <w:rsid w:val="00B007CB"/>
    <w:rsid w:val="00B02AA9"/>
    <w:rsid w:val="00B02FA3"/>
    <w:rsid w:val="00B05084"/>
    <w:rsid w:val="00B157F9"/>
    <w:rsid w:val="00B17C4A"/>
    <w:rsid w:val="00B20256"/>
    <w:rsid w:val="00B20D09"/>
    <w:rsid w:val="00B26C79"/>
    <w:rsid w:val="00B2763F"/>
    <w:rsid w:val="00B27AAC"/>
    <w:rsid w:val="00B30929"/>
    <w:rsid w:val="00B33617"/>
    <w:rsid w:val="00B34996"/>
    <w:rsid w:val="00B372AA"/>
    <w:rsid w:val="00B40445"/>
    <w:rsid w:val="00B41888"/>
    <w:rsid w:val="00B430D5"/>
    <w:rsid w:val="00B45A52"/>
    <w:rsid w:val="00B46175"/>
    <w:rsid w:val="00B5475F"/>
    <w:rsid w:val="00B6188F"/>
    <w:rsid w:val="00B664C7"/>
    <w:rsid w:val="00B739F6"/>
    <w:rsid w:val="00B81A6C"/>
    <w:rsid w:val="00B85DE5"/>
    <w:rsid w:val="00B90F73"/>
    <w:rsid w:val="00B93B59"/>
    <w:rsid w:val="00B93CC7"/>
    <w:rsid w:val="00B9406A"/>
    <w:rsid w:val="00B97CBF"/>
    <w:rsid w:val="00B97DA1"/>
    <w:rsid w:val="00BA2280"/>
    <w:rsid w:val="00BA2A08"/>
    <w:rsid w:val="00BA4AD4"/>
    <w:rsid w:val="00BA56D2"/>
    <w:rsid w:val="00BA741C"/>
    <w:rsid w:val="00BA76E0"/>
    <w:rsid w:val="00BB2A25"/>
    <w:rsid w:val="00BB51E9"/>
    <w:rsid w:val="00BC0FDC"/>
    <w:rsid w:val="00BC3053"/>
    <w:rsid w:val="00BC3C0C"/>
    <w:rsid w:val="00BC4D2E"/>
    <w:rsid w:val="00BD0F6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2575"/>
    <w:rsid w:val="00C54995"/>
    <w:rsid w:val="00C54D41"/>
    <w:rsid w:val="00C60783"/>
    <w:rsid w:val="00C60964"/>
    <w:rsid w:val="00C64672"/>
    <w:rsid w:val="00C70697"/>
    <w:rsid w:val="00C72EF4"/>
    <w:rsid w:val="00C75D2F"/>
    <w:rsid w:val="00C767BE"/>
    <w:rsid w:val="00C76E3C"/>
    <w:rsid w:val="00C80C95"/>
    <w:rsid w:val="00C81568"/>
    <w:rsid w:val="00C9027A"/>
    <w:rsid w:val="00C9068E"/>
    <w:rsid w:val="00C93C4B"/>
    <w:rsid w:val="00C9418C"/>
    <w:rsid w:val="00C944AB"/>
    <w:rsid w:val="00C95B40"/>
    <w:rsid w:val="00C96B2A"/>
    <w:rsid w:val="00CA1ED8"/>
    <w:rsid w:val="00CB1F63"/>
    <w:rsid w:val="00CB5D5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473"/>
    <w:rsid w:val="00D0349B"/>
    <w:rsid w:val="00D07ACE"/>
    <w:rsid w:val="00D10249"/>
    <w:rsid w:val="00D115C3"/>
    <w:rsid w:val="00D11897"/>
    <w:rsid w:val="00D13135"/>
    <w:rsid w:val="00D13E4E"/>
    <w:rsid w:val="00D22540"/>
    <w:rsid w:val="00D239A7"/>
    <w:rsid w:val="00D23F47"/>
    <w:rsid w:val="00D26C5C"/>
    <w:rsid w:val="00D323F0"/>
    <w:rsid w:val="00D36E71"/>
    <w:rsid w:val="00D37D87"/>
    <w:rsid w:val="00D40B33"/>
    <w:rsid w:val="00D4318F"/>
    <w:rsid w:val="00D438BF"/>
    <w:rsid w:val="00D440F8"/>
    <w:rsid w:val="00D461B3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03E5"/>
    <w:rsid w:val="00D9196D"/>
    <w:rsid w:val="00D92982"/>
    <w:rsid w:val="00D93E1A"/>
    <w:rsid w:val="00DA305E"/>
    <w:rsid w:val="00DA5417"/>
    <w:rsid w:val="00DA56E8"/>
    <w:rsid w:val="00DB0A9F"/>
    <w:rsid w:val="00DB377D"/>
    <w:rsid w:val="00DC2D36"/>
    <w:rsid w:val="00DC53EF"/>
    <w:rsid w:val="00DC7967"/>
    <w:rsid w:val="00DD554D"/>
    <w:rsid w:val="00DE5608"/>
    <w:rsid w:val="00DE58D0"/>
    <w:rsid w:val="00DE654F"/>
    <w:rsid w:val="00DF0B6E"/>
    <w:rsid w:val="00DF15E0"/>
    <w:rsid w:val="00DF37A0"/>
    <w:rsid w:val="00E110E7"/>
    <w:rsid w:val="00E11B20"/>
    <w:rsid w:val="00E1483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BF9"/>
    <w:rsid w:val="00E511EA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CB9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1CD1"/>
    <w:rsid w:val="00ED3E20"/>
    <w:rsid w:val="00EF172D"/>
    <w:rsid w:val="00EF18FE"/>
    <w:rsid w:val="00EF3C81"/>
    <w:rsid w:val="00EF43D6"/>
    <w:rsid w:val="00EF5787"/>
    <w:rsid w:val="00EF60D0"/>
    <w:rsid w:val="00F0528D"/>
    <w:rsid w:val="00F06C67"/>
    <w:rsid w:val="00F06DFD"/>
    <w:rsid w:val="00F071D1"/>
    <w:rsid w:val="00F07533"/>
    <w:rsid w:val="00F10629"/>
    <w:rsid w:val="00F109AF"/>
    <w:rsid w:val="00F15FA5"/>
    <w:rsid w:val="00F209B7"/>
    <w:rsid w:val="00F2376F"/>
    <w:rsid w:val="00F240D5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DF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50C"/>
    <w:rsid w:val="00F868F5"/>
    <w:rsid w:val="00F9056A"/>
    <w:rsid w:val="00F90F8D"/>
    <w:rsid w:val="00F92782"/>
    <w:rsid w:val="00F92B62"/>
    <w:rsid w:val="00F93AA9"/>
    <w:rsid w:val="00F96985"/>
    <w:rsid w:val="00F97838"/>
    <w:rsid w:val="00FA2BB3"/>
    <w:rsid w:val="00FA73F0"/>
    <w:rsid w:val="00FB160B"/>
    <w:rsid w:val="00FB4C80"/>
    <w:rsid w:val="00FB6A6A"/>
    <w:rsid w:val="00FC7429"/>
    <w:rsid w:val="00FD07F6"/>
    <w:rsid w:val="00FD1EC8"/>
    <w:rsid w:val="00FD2E41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40B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46E2E"/>
  <w15:chartTrackingRefBased/>
  <w15:docId w15:val="{8F36AEFD-6228-48A7-BBD6-3A92C91A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1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4215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421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421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421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421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421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421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421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421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4215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4215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4215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4215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4215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42159"/>
    <w:pPr>
      <w:ind w:left="1418" w:hanging="1418"/>
    </w:pPr>
  </w:style>
  <w:style w:type="paragraph" w:styleId="TOC3">
    <w:name w:val="toc 3"/>
    <w:basedOn w:val="TOC2"/>
    <w:semiHidden/>
    <w:rsid w:val="00A42159"/>
    <w:pPr>
      <w:ind w:left="1134" w:hanging="1134"/>
    </w:pPr>
  </w:style>
  <w:style w:type="paragraph" w:styleId="TOC2">
    <w:name w:val="toc 2"/>
    <w:basedOn w:val="TOC1"/>
    <w:semiHidden/>
    <w:rsid w:val="00A4215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42159"/>
    <w:pPr>
      <w:ind w:left="284"/>
    </w:pPr>
  </w:style>
  <w:style w:type="paragraph" w:styleId="Index1">
    <w:name w:val="index 1"/>
    <w:basedOn w:val="Normal"/>
    <w:semiHidden/>
    <w:rsid w:val="00A42159"/>
    <w:pPr>
      <w:keepLines/>
      <w:spacing w:after="0"/>
    </w:pPr>
  </w:style>
  <w:style w:type="paragraph" w:styleId="DocumentMap">
    <w:name w:val="Document Map"/>
    <w:basedOn w:val="Normal"/>
    <w:semiHidden/>
    <w:rsid w:val="00A4215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42159"/>
    <w:pPr>
      <w:ind w:left="851"/>
    </w:pPr>
  </w:style>
  <w:style w:type="paragraph" w:styleId="ListNumber">
    <w:name w:val="List Number"/>
    <w:basedOn w:val="List"/>
    <w:rsid w:val="00A42159"/>
  </w:style>
  <w:style w:type="paragraph" w:styleId="List">
    <w:name w:val="List"/>
    <w:basedOn w:val="Normal"/>
    <w:rsid w:val="00A42159"/>
    <w:pPr>
      <w:ind w:left="568" w:hanging="284"/>
    </w:pPr>
  </w:style>
  <w:style w:type="paragraph" w:styleId="Header">
    <w:name w:val="header"/>
    <w:rsid w:val="00A421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4215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4215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4215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42159"/>
    <w:pPr>
      <w:ind w:left="1418" w:hanging="1418"/>
    </w:pPr>
  </w:style>
  <w:style w:type="paragraph" w:styleId="TOC6">
    <w:name w:val="toc 6"/>
    <w:basedOn w:val="TOC5"/>
    <w:next w:val="Normal"/>
    <w:semiHidden/>
    <w:rsid w:val="00A42159"/>
    <w:pPr>
      <w:ind w:left="1985" w:hanging="1985"/>
    </w:pPr>
  </w:style>
  <w:style w:type="paragraph" w:styleId="TOC7">
    <w:name w:val="toc 7"/>
    <w:basedOn w:val="TOC6"/>
    <w:next w:val="Normal"/>
    <w:semiHidden/>
    <w:rsid w:val="00A42159"/>
    <w:pPr>
      <w:ind w:left="2268" w:hanging="2268"/>
    </w:pPr>
  </w:style>
  <w:style w:type="paragraph" w:styleId="ListBullet2">
    <w:name w:val="List Bullet 2"/>
    <w:basedOn w:val="ListBullet"/>
    <w:rsid w:val="00A42159"/>
    <w:pPr>
      <w:numPr>
        <w:numId w:val="6"/>
      </w:numPr>
    </w:pPr>
  </w:style>
  <w:style w:type="paragraph" w:styleId="ListBullet">
    <w:name w:val="List Bullet"/>
    <w:basedOn w:val="BodyText"/>
    <w:rsid w:val="00A42159"/>
    <w:pPr>
      <w:numPr>
        <w:numId w:val="5"/>
      </w:numPr>
    </w:pPr>
  </w:style>
  <w:style w:type="paragraph" w:styleId="ListBullet3">
    <w:name w:val="List Bullet 3"/>
    <w:basedOn w:val="ListBullet2"/>
    <w:rsid w:val="00A42159"/>
    <w:pPr>
      <w:numPr>
        <w:numId w:val="7"/>
      </w:numPr>
    </w:pPr>
  </w:style>
  <w:style w:type="paragraph" w:customStyle="1" w:styleId="EQ">
    <w:name w:val="EQ"/>
    <w:basedOn w:val="Normal"/>
    <w:next w:val="Normal"/>
    <w:rsid w:val="00A4215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42159"/>
    <w:pPr>
      <w:ind w:left="851"/>
    </w:pPr>
  </w:style>
  <w:style w:type="paragraph" w:styleId="List3">
    <w:name w:val="List 3"/>
    <w:basedOn w:val="List2"/>
    <w:rsid w:val="00A42159"/>
    <w:pPr>
      <w:ind w:left="1135"/>
    </w:pPr>
  </w:style>
  <w:style w:type="paragraph" w:styleId="List4">
    <w:name w:val="List 4"/>
    <w:basedOn w:val="List3"/>
    <w:rsid w:val="00A42159"/>
    <w:pPr>
      <w:ind w:left="1418"/>
    </w:pPr>
  </w:style>
  <w:style w:type="paragraph" w:styleId="List5">
    <w:name w:val="List 5"/>
    <w:basedOn w:val="List4"/>
    <w:rsid w:val="00A42159"/>
    <w:pPr>
      <w:ind w:left="1702"/>
    </w:pPr>
  </w:style>
  <w:style w:type="paragraph" w:customStyle="1" w:styleId="EditorsNote">
    <w:name w:val="Editor's Note"/>
    <w:basedOn w:val="Normal"/>
    <w:rsid w:val="00A4215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42159"/>
    <w:pPr>
      <w:numPr>
        <w:numId w:val="8"/>
      </w:numPr>
    </w:pPr>
  </w:style>
  <w:style w:type="paragraph" w:styleId="ListBullet5">
    <w:name w:val="List Bullet 5"/>
    <w:basedOn w:val="ListBullet4"/>
    <w:rsid w:val="00A42159"/>
    <w:pPr>
      <w:numPr>
        <w:numId w:val="4"/>
      </w:numPr>
    </w:pPr>
  </w:style>
  <w:style w:type="paragraph" w:styleId="Footer">
    <w:name w:val="footer"/>
    <w:basedOn w:val="Header"/>
    <w:semiHidden/>
    <w:rsid w:val="00A4215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42159"/>
    <w:pPr>
      <w:numPr>
        <w:numId w:val="2"/>
      </w:numPr>
    </w:pPr>
  </w:style>
  <w:style w:type="paragraph" w:styleId="BalloonText">
    <w:name w:val="Balloon Text"/>
    <w:basedOn w:val="Normal"/>
    <w:semiHidden/>
    <w:rsid w:val="00A421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42159"/>
  </w:style>
  <w:style w:type="paragraph" w:styleId="BodyText">
    <w:name w:val="Body Text"/>
    <w:basedOn w:val="Normal"/>
    <w:link w:val="BodyTextChar"/>
    <w:rsid w:val="00A42159"/>
  </w:style>
  <w:style w:type="character" w:styleId="Hyperlink">
    <w:name w:val="Hyperlink"/>
    <w:uiPriority w:val="99"/>
    <w:rsid w:val="00A42159"/>
    <w:rPr>
      <w:color w:val="0000FF"/>
      <w:u w:val="single"/>
      <w:lang w:val="en-GB"/>
    </w:rPr>
  </w:style>
  <w:style w:type="character" w:styleId="FollowedHyperlink">
    <w:name w:val="FollowedHyperlink"/>
    <w:semiHidden/>
    <w:rsid w:val="00A42159"/>
    <w:rPr>
      <w:color w:val="FF0000"/>
      <w:u w:val="single"/>
    </w:rPr>
  </w:style>
  <w:style w:type="character" w:styleId="CommentReference">
    <w:name w:val="annotation reference"/>
    <w:semiHidden/>
    <w:rsid w:val="00A42159"/>
    <w:rPr>
      <w:sz w:val="16"/>
      <w:szCs w:val="16"/>
    </w:rPr>
  </w:style>
  <w:style w:type="paragraph" w:styleId="CommentText">
    <w:name w:val="annotation text"/>
    <w:basedOn w:val="Normal"/>
    <w:semiHidden/>
    <w:rsid w:val="00A42159"/>
  </w:style>
  <w:style w:type="paragraph" w:styleId="CommentSubject">
    <w:name w:val="annotation subject"/>
    <w:basedOn w:val="CommentText"/>
    <w:next w:val="CommentText"/>
    <w:semiHidden/>
    <w:rsid w:val="00A42159"/>
    <w:rPr>
      <w:b/>
      <w:bCs/>
    </w:rPr>
  </w:style>
  <w:style w:type="character" w:customStyle="1" w:styleId="Heading1Char">
    <w:name w:val="Heading 1 Char"/>
    <w:link w:val="Heading1"/>
    <w:rsid w:val="00A4215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4215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4215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4215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4215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4215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4215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4215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4215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42159"/>
    <w:pPr>
      <w:spacing w:after="0"/>
    </w:pPr>
  </w:style>
  <w:style w:type="paragraph" w:customStyle="1" w:styleId="TAL">
    <w:name w:val="TAL"/>
    <w:basedOn w:val="Normal"/>
    <w:rsid w:val="00A4215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42159"/>
    <w:pPr>
      <w:jc w:val="center"/>
    </w:pPr>
  </w:style>
  <w:style w:type="paragraph" w:customStyle="1" w:styleId="TAH">
    <w:name w:val="TAH"/>
    <w:basedOn w:val="TAC"/>
    <w:rsid w:val="00A42159"/>
    <w:rPr>
      <w:b/>
    </w:rPr>
  </w:style>
  <w:style w:type="paragraph" w:customStyle="1" w:styleId="TAN">
    <w:name w:val="TAN"/>
    <w:basedOn w:val="TAL"/>
    <w:rsid w:val="00A42159"/>
    <w:pPr>
      <w:ind w:left="851" w:hanging="851"/>
    </w:pPr>
  </w:style>
  <w:style w:type="paragraph" w:customStyle="1" w:styleId="TAR">
    <w:name w:val="TAR"/>
    <w:basedOn w:val="TAL"/>
    <w:rsid w:val="00A42159"/>
    <w:pPr>
      <w:jc w:val="right"/>
    </w:pPr>
  </w:style>
  <w:style w:type="paragraph" w:customStyle="1" w:styleId="TH">
    <w:name w:val="TH"/>
    <w:basedOn w:val="Normal"/>
    <w:rsid w:val="00A4215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4215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4215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421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421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421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421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42159"/>
  </w:style>
  <w:style w:type="paragraph" w:customStyle="1" w:styleId="ZH">
    <w:name w:val="ZH"/>
    <w:rsid w:val="00A421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421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4215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421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42159"/>
    <w:pPr>
      <w:framePr w:wrap="notBeside" w:y="16161"/>
    </w:pPr>
  </w:style>
  <w:style w:type="paragraph" w:customStyle="1" w:styleId="FP">
    <w:name w:val="FP"/>
    <w:basedOn w:val="Normal"/>
    <w:rsid w:val="00A4215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4215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4215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4215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4215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A4980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A71E0E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153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2_AH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5NUHHDQN7SK2-1476151046-24661</_dlc_DocId>
    <_dlc_DocIdUrl xmlns="f166a696-7b5b-4ccd-9f0c-ffde0cceec81">
      <Url>https://ericsson.sharepoint.com/sites/star/_layouts/15/DocIdRedir.aspx?ID=5NUHHDQN7SK2-1476151046-24661</Url>
      <Description>5NUHHDQN7SK2-1476151046-24661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dcmitype/"/>
    <ds:schemaRef ds:uri="http://schemas.microsoft.com/office/2006/documentManagement/types"/>
    <ds:schemaRef ds:uri="d8762117-8292-4133-b1c7-eab5c6487cfd"/>
    <ds:schemaRef ds:uri="611109f9-ed58-4498-a270-1fb2086a5321"/>
    <ds:schemaRef ds:uri="f166a696-7b5b-4ccd-9f0c-ffde0cceec81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411B6B9-37DC-4602-B90E-E0C76878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193</TotalTime>
  <Pages>3</Pages>
  <Words>727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/>
  <cp:lastModifiedBy>Ericsson</cp:lastModifiedBy>
  <cp:revision>97</cp:revision>
  <cp:lastPrinted>2008-01-31T16:09:00Z</cp:lastPrinted>
  <dcterms:created xsi:type="dcterms:W3CDTF">2018-06-12T06:57:00Z</dcterms:created>
  <dcterms:modified xsi:type="dcterms:W3CDTF">2018-06-21T20:17:00Z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9eb7a196-0421-470c-b4c0-704f3e1730cd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